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E6" w:rsidRDefault="006E2EE6" w:rsidP="006E2EE6">
      <w:pPr>
        <w:spacing w:before="75" w:after="375" w:line="240" w:lineRule="auto"/>
        <w:outlineLvl w:val="0"/>
        <w:rPr>
          <w:rFonts w:ascii="inherit" w:eastAsia="Times New Roman" w:hAnsi="inherit" w:cs="Times New Roman"/>
          <w:color w:val="54397E"/>
          <w:kern w:val="36"/>
          <w:sz w:val="30"/>
          <w:szCs w:val="30"/>
          <w:lang w:eastAsia="bg-BG"/>
        </w:rPr>
      </w:pPr>
    </w:p>
    <w:p w:rsidR="006E2EE6" w:rsidRPr="006E2EE6" w:rsidRDefault="006E2EE6" w:rsidP="006E2EE6">
      <w:pPr>
        <w:spacing w:before="75" w:after="375" w:line="240" w:lineRule="auto"/>
        <w:outlineLvl w:val="0"/>
        <w:rPr>
          <w:rFonts w:ascii="inherit" w:eastAsia="Times New Roman" w:hAnsi="inherit" w:cs="Times New Roman"/>
          <w:color w:val="54397E"/>
          <w:kern w:val="36"/>
          <w:sz w:val="30"/>
          <w:szCs w:val="30"/>
          <w:lang w:eastAsia="bg-BG"/>
        </w:rPr>
      </w:pPr>
      <w:r w:rsidRPr="006E2EE6">
        <w:rPr>
          <w:rFonts w:ascii="inherit" w:eastAsia="Times New Roman" w:hAnsi="inherit" w:cs="Times New Roman"/>
          <w:color w:val="54397E"/>
          <w:kern w:val="36"/>
          <w:sz w:val="30"/>
          <w:szCs w:val="30"/>
          <w:lang w:eastAsia="bg-BG"/>
        </w:rPr>
        <w:t>Образование за утрешния ден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color w:val="6B6B6B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noProof/>
          <w:color w:val="54397E"/>
          <w:sz w:val="24"/>
          <w:szCs w:val="24"/>
          <w:lang w:eastAsia="bg-BG"/>
        </w:rPr>
        <w:drawing>
          <wp:inline distT="0" distB="0" distL="0" distR="0" wp14:anchorId="00A8ED8A" wp14:editId="1CE0EE03">
            <wp:extent cx="2028825" cy="838200"/>
            <wp:effectExtent l="0" t="0" r="9525" b="0"/>
            <wp:docPr id="10" name="Picture 10" descr="http://www.rio-ruse.org/wp-content/uploads/2019/11/%D1%81%D0%B0%D1%81%D0%B0-300x12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io-ruse.org/wp-content/uploads/2019/11/%D1%81%D0%B0%D1%81%D0%B0-300x12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E6">
        <w:rPr>
          <w:rFonts w:ascii="&quot;Roboto&quot;, Tahoma, Arial" w:eastAsia="Times New Roman" w:hAnsi="&quot;Roboto&quot;, Tahoma, Arial" w:cs="Times New Roman"/>
          <w:noProof/>
          <w:color w:val="54397E"/>
          <w:sz w:val="24"/>
          <w:szCs w:val="24"/>
          <w:lang w:eastAsia="bg-BG"/>
        </w:rPr>
        <w:drawing>
          <wp:inline distT="0" distB="0" distL="0" distR="0" wp14:anchorId="6BAD84A6" wp14:editId="0D36A632">
            <wp:extent cx="2019300" cy="752475"/>
            <wp:effectExtent l="0" t="0" r="0" b="0"/>
            <wp:docPr id="11" name="Picture 11" descr="http://www.rio-ruse.org/wp-content/uploads/2019/11/%D0%B5%D1%81-300x11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io-ruse.org/wp-content/uploads/2019/11/%D0%B5%D1%81-300x11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EE6">
        <w:rPr>
          <w:rFonts w:ascii="&quot;Roboto&quot;, Tahoma, Arial" w:eastAsia="Times New Roman" w:hAnsi="&quot;Roboto&quot;, Tahoma, Arial" w:cs="Times New Roman"/>
          <w:noProof/>
          <w:color w:val="54397E"/>
          <w:sz w:val="24"/>
          <w:szCs w:val="24"/>
          <w:lang w:eastAsia="bg-BG"/>
        </w:rPr>
        <w:drawing>
          <wp:inline distT="0" distB="0" distL="0" distR="0" wp14:anchorId="7AC6B303" wp14:editId="7ED0D626">
            <wp:extent cx="1066800" cy="666750"/>
            <wp:effectExtent l="0" t="0" r="0" b="0"/>
            <wp:docPr id="12" name="Picture 12" descr="http://www.rio-ruse.org/wp-content/uploads/2020/05/%D0%BE%D1%83%D0%B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io-ruse.org/wp-content/uploads/2020/05/%D0%BE%D1%83%D0%B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color w:val="6B6B6B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color w:val="6B6B6B"/>
          <w:sz w:val="24"/>
          <w:szCs w:val="24"/>
          <w:lang w:eastAsia="bg-BG"/>
        </w:rPr>
        <w:t> 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На 15.10.2019 г. бе подписан договор за предоставяне на безвъзмездна финансова помощ по проект № BG05M2ОP001-2.012-0001 „Образование за утрешния ден“ между Министерство на образованието и науката – конкретен бенефициент и ИА ОПНОИР – управляващ орган на ОП НОИР. Проектът се реализира по Оперативна програма „Наука и образование за интелигентен растеж“ (ОП НОИР) 2014-2020 г., съфинансирана от Европейския съюз чрез Европейските структурни и инвестиционни фондове, с конкретен бенефициент – Министерството на образованието и науката (МОН).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Дигитализацията в образованието е приоритет на Европейската комисия. Прилагането на облачни технологии в образованието ще осигури достъпност, актуалност и управление на образователните ресурси – основа за качествено образование. Проектът ще допринесе за решаване на основен проблем в образованието – липсата в национален мащаб на универсални електронни профили на ученици, учители и експерти в сферата. За потребителите в образователния процес се предвижда да бъде създаден универсален електронен профил за достъп до системите на МОН и до внедрената платформа за образователни услуги и съдържание. Ще бъде закупено оборудване за внедряване на иновативни методи за преподаване и за педагогическо взаимодействие. Основна дейност по проекта са обученията на учители за придобиване на нови компетентности и дигитални умения. Чрез средствата на внедрената платформа обучените учители ще могат да разработват дигитално образователно съдържание, което да използват в образователния процес. След оценка за съответствието му с утвърдените учебни програми на МОН и добрите педагогически практики по специално създадена методика, одобреното съдържание ще бъде публикувано на платформата за национално ползване. За целите на проекта ще бъдат проучени, селектирани и адаптирани стойностни онлайн дигитални образователни ресурси с отворен достъп. След контрол от страна на МОН одобрените ресурси ще бъдат публикувани в платформата за свободно ползване. По проекта ще се подкрепят и насърчат учениците за повишаване на дигиталните им компетентности чрез участия в извънкласни дейности и занимания, вкл. за развитие на STEM. Чрез проекта ще се създадат предпоставки за ускоряване на процесите на интеграция на деца, застрашени от отпадане и/или изоставане от дигитални знания и умения, както и на деца със специални образователни потребности, т.е. ще очаква се проекта да има и социализиращ ефект. Нуждата от модернизация на образованието чрез дигитализация ще бъде подкрепена чрез провеждане на информационни кампании за важността и общите или конкретни ползи за обществото.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Проектът е на обща стойност 104 959 178,01 лева и се финансира по Оперативна програма „Наука и образование за интелигентен растеж“, съфинансирана от Европейския социален фонд.</w:t>
      </w:r>
    </w:p>
    <w:p w:rsid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Продължителността на проекта е 36 месеца – от 15.10.2019 г. до 15.10.2022 г.</w:t>
      </w:r>
    </w:p>
    <w:p w:rsid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</w:p>
    <w:p w:rsid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</w:p>
    <w:p w:rsid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Основна цел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lastRenderedPageBreak/>
        <w:t>Общата цел на проекта се изразява във въвеждането и поддържането в национален мащаб и популяризирането на референтен модел за насърчаване на придобиването на по-голяма цифрова компетентност и въвеждането на системен и комплексен институционален подход на МОН за интегриране на образователните технологии, както и за насърчаване и мотивация за тяхното използване. С проекта се цели отварянето на образованието и образователните институции към дигиталните технологии чрез внедряването на нови решения за по-добро персонализирано обучение, което да позволи на учителите да предприемат мерки с по-точни и ефективни подходи към всеки отделен учащ и повишаване на мотивацията чрез насърчаване на самостоятелното обучение и самооценка, включително извън класната стая.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Специфичните цели на проекта са насочени към: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усвояване на знания и умения за работа в дигиталното общество;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подобряване на достъпа до образование, в т.ч. чрез използване на леснодостъпни платформи и мобилни приложения;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намаляване на различията в резултатите от ученето в различните училища и населени места;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модернизиране на методите и средствата за обучение;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повишаване на качеството на образованието, за по-добрата дигитална подготовка на учащите се, с цел по-бърза и по-лесна реализация на пазара на труда;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насърчаване модернизирането на образованието и ученето през целия живот;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осигуряване на условия и подкрепа за прилагането на педагогически иновации и съвременни подходи на преподаване.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Териториален обхват и финансови източници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Дейностите по проекта ще се реализират на територията на Република България. Финансирането на дейностите по проекта е от Европейския социален фонд (ЕСФ). Проектът се съфинансира със средства от ЕСФ – 85% и от Държавния бюджет на Република България – 15%.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Допустими дейности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Дейност 1 Изграждане на облачна среда и внедряване на платформа за образователни услуги и съдържание с надежден комуникационен достъп на потребители – експерти, педагогически кадри, ученици и родители.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Дейност 2 Изграждане на модерна защитена образователна среда в училищата и детските градини, базирана на съвременни съоръжения /оборудване за онагледяване/ представяне на учебния материал чрез ИКТ (като интерактивни дъски, интерактивни маси за детските градини, таблети, мултимедийни проектори и дисплеи за визуализация на интерактивно съдържание, специализирана съвременна техника и за ученици със сензорни увреждания, аутисти, ДЦП и др.).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Дейност 3 Обучения на педагогически специалисти (учители, директори, зам.-директори и др. с преподавателска заетост) по и със средствата на ИКТ, но не само.</w:t>
      </w:r>
    </w:p>
    <w:p w:rsidR="0094262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3.1. Обучение в дигитални умения за създаване на дигитално съдържание за учебния процес;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3.2. Обучение на учители за преподаване на знания и умения по дигитална грамотност – ключови дигитални умения – базови и за напреднали, нови технологии, продукти и програми, медийна грамотност, онлайн съдържание и поведение, и др. за повишаване дигиталната компетентност на учащите се;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3.3. Обучения на учители за програмиране/кодиране, кибер сигурност, защита на интелектуална со</w:t>
      </w:r>
      <w:bookmarkStart w:id="0" w:name="_GoBack"/>
      <w:bookmarkEnd w:id="0"/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бственост и др.;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3.4. Обучение на учители за работа с дигитални ресурси и внедрената платформа за образователни услуги и съдържание с цел въвеждане на иновативни методи на преподаване чрез съвременни ИКТ.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lastRenderedPageBreak/>
        <w:t>Дейност 4 Разработване на дигитално образователно съдържание като електронни учебници и е-помагала по учебни предмети, интерактивни и мултимедийни уроци, образователни приложения и игри, тестове и др. Контрол на съответствието на дигиталното съдържание с утвърдените програми и добрите педагогически практики.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Дейност 5 Идентифициране и утвърждаване на стойностни дигитални образователни ресурси – международни и национални, с отворен достъп и внедряването им в платформата за образователни услуги и съдържание (вкл. и за ученици със сензорни увреждания, аутисти, ДЦП и др.).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Дейност 6 Повишаване на дигиталната компетентност и умения на учениците под формата на извънкласни дейности (клубове по интереси и допълнителни занимания по ключови дигитални умения – базови и за напреднали, включително и компютърно моделиране/кодиране).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Дейност 7 Информационни кампании за ползите от дигиталната компетентност, кибер безопасност, медийната грамотност, защита на интелектуалната собственост, промотиране на EU Code Week и др.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Представители на целевата група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Целевите групи по проекта включват деца и ученици, учители, директори, други педагогически специалисти, родители.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В дейностите по проекта ще вземат участие 2 000 образователни институции – 1940 училища и 60 детски градини от цялата страна.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Индикатори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1. Заложени индикатори за изпълнение: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Училища и детски градини, включени в дейности за въвеждане на иновативни методи на преподаване, чрез използване на съвременни ИКТ (ID 2112) – 2 000.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Допълнителни специфични за процедурата индикатори за изпълнение: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Брой педагогически специалисти, включени в обучения за усвояване, въвеждане и прилагане на иновативни методи на преподаване чрез използването на съвременни ИКТ – 25 000;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Ученици/деца от училища /детски градини, включени в дейности по процедурата – 220 000.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2. Заложени индикатори за резултат: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Дял на училищата и детските градини, включени в дейности по ОП (процедурата), въвели иновативни методи на преподаване, разработени по ОП, чрез използване на съвременни ИКТ (ID P 2113) – 85%.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Допълнителни специфични за процедурата индикатори за резултат: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Дял на педагогическите специалисти от включените в дейности по процедурата, придобили умения за въвеждане и прилагане на иновативни методи за преподаване чрез използването на съвременни ИКТ – 85%;</w:t>
      </w: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br/>
        <w:t>Дял на учениците и децата от училищата/детските градини, успешно завършили участието си в клубове по интереси и допълнителни занимания по и чрез ИКТ – 25% (от всички включени в дейности по операцията 220 000 деца и ученици).</w:t>
      </w:r>
    </w:p>
    <w:p w:rsidR="006E2EE6" w:rsidRPr="006E2EE6" w:rsidRDefault="0094262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hyperlink r:id="rId10" w:tgtFrame="_blank" w:history="1">
        <w:r w:rsidR="006E2EE6" w:rsidRPr="006E2EE6">
          <w:rPr>
            <w:rFonts w:ascii="&quot;Roboto&quot;, Tahoma, Arial" w:eastAsia="Times New Roman" w:hAnsi="&quot;Roboto&quot;, Tahoma, Arial" w:cs="Times New Roman"/>
            <w:sz w:val="24"/>
            <w:szCs w:val="24"/>
            <w:u w:val="single"/>
            <w:lang w:eastAsia="bg-BG"/>
          </w:rPr>
          <w:t> към сайта на проекта</w:t>
        </w:r>
      </w:hyperlink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 </w:t>
      </w:r>
    </w:p>
    <w:p w:rsidR="006E2EE6" w:rsidRPr="006E2EE6" w:rsidRDefault="006E2EE6" w:rsidP="006E2EE6">
      <w:pPr>
        <w:shd w:val="clear" w:color="auto" w:fill="FFFFFF"/>
        <w:spacing w:after="150" w:line="240" w:lineRule="auto"/>
        <w:jc w:val="center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i/>
          <w:iCs/>
          <w:lang w:eastAsia="bg-BG"/>
        </w:rPr>
        <w:t>—————————————————— </w:t>
      </w:r>
      <w:hyperlink r:id="rId11" w:history="1">
        <w:r w:rsidRPr="006E2EE6">
          <w:rPr>
            <w:rFonts w:ascii="&quot;Roboto&quot;, Tahoma, Arial" w:eastAsia="Times New Roman" w:hAnsi="&quot;Roboto&quot;, Tahoma, Arial" w:cs="Times New Roman"/>
            <w:i/>
            <w:iCs/>
            <w:u w:val="single"/>
            <w:lang w:eastAsia="bg-BG"/>
          </w:rPr>
          <w:t>www.eufunds.bg</w:t>
        </w:r>
      </w:hyperlink>
      <w:r w:rsidRPr="006E2EE6">
        <w:rPr>
          <w:rFonts w:ascii="&quot;Roboto&quot;, Tahoma, Arial" w:eastAsia="Times New Roman" w:hAnsi="&quot;Roboto&quot;, Tahoma, Arial" w:cs="Times New Roman"/>
          <w:i/>
          <w:iCs/>
          <w:lang w:eastAsia="bg-BG"/>
        </w:rPr>
        <w:t> ————————————————</w:t>
      </w:r>
    </w:p>
    <w:p w:rsidR="006E2EE6" w:rsidRPr="006E2EE6" w:rsidRDefault="006E2EE6" w:rsidP="006E2EE6">
      <w:pPr>
        <w:shd w:val="clear" w:color="auto" w:fill="FFFFFF"/>
        <w:spacing w:after="150" w:line="240" w:lineRule="auto"/>
        <w:jc w:val="center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i/>
          <w:iCs/>
          <w:sz w:val="20"/>
          <w:szCs w:val="20"/>
          <w:lang w:eastAsia="bg-BG"/>
        </w:rPr>
        <w:t>Проект  BG05M2OP001-2.012-0001 “Образование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</w:r>
    </w:p>
    <w:p w:rsidR="006E2EE6" w:rsidRPr="006E2EE6" w:rsidRDefault="006E2EE6" w:rsidP="006E2EE6">
      <w:pPr>
        <w:shd w:val="clear" w:color="auto" w:fill="FFFFFF"/>
        <w:spacing w:after="150" w:line="240" w:lineRule="auto"/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</w:pPr>
      <w:r w:rsidRPr="006E2EE6">
        <w:rPr>
          <w:rFonts w:ascii="&quot;Roboto&quot;, Tahoma, Arial" w:eastAsia="Times New Roman" w:hAnsi="&quot;Roboto&quot;, Tahoma, Arial" w:cs="Times New Roman"/>
          <w:sz w:val="24"/>
          <w:szCs w:val="24"/>
          <w:lang w:eastAsia="bg-BG"/>
        </w:rPr>
        <w:t> </w:t>
      </w:r>
    </w:p>
    <w:sectPr w:rsidR="006E2EE6" w:rsidRPr="006E2EE6" w:rsidSect="00942626"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quot;Roboto&quot;, Tahoma, 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E6"/>
    <w:rsid w:val="006E2EE6"/>
    <w:rsid w:val="00942626"/>
    <w:rsid w:val="00C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C852A"/>
  <w15:chartTrackingRefBased/>
  <w15:docId w15:val="{79A1FA70-92C2-4A4E-A11B-22CAD97C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-ruse.org/wp-content/uploads/2020/05/%D0%BE%D1%83%D0%B4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o-ruse.org/wp-content/uploads/2019/11/%D0%B5%D1%81.png" TargetMode="External"/><Relationship Id="rId11" Type="http://schemas.openxmlformats.org/officeDocument/2006/relationships/hyperlink" Target="http://www.eufunds.b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ud.mon.bg/" TargetMode="External"/><Relationship Id="rId4" Type="http://schemas.openxmlformats.org/officeDocument/2006/relationships/hyperlink" Target="http://www.rio-ruse.org/wp-content/uploads/2019/11/%D1%81%D0%B0%D1%81%D0%B0.jp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Alekova</dc:creator>
  <cp:keywords/>
  <dc:description/>
  <cp:lastModifiedBy>D. Alekova</cp:lastModifiedBy>
  <cp:revision>2</cp:revision>
  <dcterms:created xsi:type="dcterms:W3CDTF">2020-12-04T16:28:00Z</dcterms:created>
  <dcterms:modified xsi:type="dcterms:W3CDTF">2020-12-05T15:52:00Z</dcterms:modified>
</cp:coreProperties>
</file>